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Inhaltstabelle26"/>
        <w:tblW w:w="9214" w:type="dxa"/>
        <w:tblLayout w:type="fixed"/>
        <w:tblLook w:val="06A0" w:firstRow="1" w:lastRow="0" w:firstColumn="1" w:lastColumn="0" w:noHBand="1" w:noVBand="1"/>
      </w:tblPr>
      <w:tblGrid>
        <w:gridCol w:w="1910"/>
        <w:gridCol w:w="7304"/>
      </w:tblGrid>
      <w:tr w:rsidR="00C80808" w:rsidRPr="00C80808" w14:paraId="21EB0143" w14:textId="77777777" w:rsidTr="0011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9213" w:type="dxa"/>
            <w:gridSpan w:val="2"/>
            <w:tcBorders>
              <w:bottom w:val="single" w:sz="4" w:space="0" w:color="0077B6"/>
            </w:tcBorders>
            <w:shd w:val="clear" w:color="auto" w:fill="00854A"/>
          </w:tcPr>
          <w:p w14:paraId="45A68FE4" w14:textId="77777777" w:rsidR="00C80808" w:rsidRPr="00C80808" w:rsidRDefault="00C80808" w:rsidP="00C80808">
            <w:pPr>
              <w:pageBreakBefore/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80808">
              <w:rPr>
                <w:rFonts w:ascii="BundesSans Office" w:hAnsi="BundesSans Office" w:cs="Arial"/>
              </w:rPr>
              <w:t>Indikator (24): Phylogenetische Diversität</w:t>
            </w:r>
          </w:p>
        </w:tc>
      </w:tr>
      <w:tr w:rsidR="00C80808" w:rsidRPr="00C80808" w14:paraId="5D5AC3E5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0077B6"/>
              <w:bottom w:val="single" w:sz="8" w:space="0" w:color="C3DCA5"/>
            </w:tcBorders>
          </w:tcPr>
          <w:p w14:paraId="4F9C1C3D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Ökologische Relevanz</w:t>
            </w:r>
          </w:p>
        </w:tc>
        <w:tc>
          <w:tcPr>
            <w:tcW w:w="7303" w:type="dxa"/>
            <w:tcBorders>
              <w:top w:val="single" w:sz="4" w:space="0" w:color="0077B6"/>
              <w:bottom w:val="single" w:sz="8" w:space="0" w:color="C3DCA5"/>
            </w:tcBorders>
          </w:tcPr>
          <w:p w14:paraId="32F43324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Phylogenetische Diversität wird als wichtiger Faktor für die Resilienz von Artengemeinschaften angesehen.</w:t>
            </w:r>
          </w:p>
        </w:tc>
      </w:tr>
      <w:tr w:rsidR="00C80808" w:rsidRPr="00C80808" w14:paraId="5F373BDD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7E19FD88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Beschreibung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46204656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Der Indikator beschreibt die phylogenetische Vielfalt (</w:t>
            </w:r>
            <w:proofErr w:type="spellStart"/>
            <w:r w:rsidRPr="00C80808">
              <w:rPr>
                <w:rFonts w:ascii="BundesSans Office" w:hAnsi="BundesSans Office" w:cs="Arial"/>
              </w:rPr>
              <w:t>Faith‘s</w:t>
            </w:r>
            <w:proofErr w:type="spellEnd"/>
            <w:r w:rsidRPr="00C80808">
              <w:rPr>
                <w:rFonts w:ascii="BundesSans Office" w:hAnsi="BundesSans Office" w:cs="Arial"/>
              </w:rPr>
              <w:t xml:space="preserve"> PD) innerhalb der mittels </w:t>
            </w:r>
            <w:proofErr w:type="spellStart"/>
            <w:r w:rsidRPr="00C80808">
              <w:rPr>
                <w:rFonts w:ascii="BundesSans Office" w:hAnsi="BundesSans Office" w:cs="Arial"/>
              </w:rPr>
              <w:t>eDNA</w:t>
            </w:r>
            <w:proofErr w:type="spellEnd"/>
            <w:r w:rsidRPr="00C80808">
              <w:rPr>
                <w:rFonts w:ascii="BundesSans Office" w:hAnsi="BundesSans Office" w:cs="Arial"/>
              </w:rPr>
              <w:t xml:space="preserve"> nachgewiesenen Wildbienenarten und dient als Proxy für die allgemeine Anpassungsfähigkeit von Wildbienen-Gemeinschaften.</w:t>
            </w:r>
          </w:p>
        </w:tc>
      </w:tr>
      <w:tr w:rsidR="00C80808" w:rsidRPr="00C80808" w14:paraId="2CFEA86E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65007954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Datengrundlage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5E3B88DE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Freiwillige entnehmen im zweiten Standjahr aus den Nisthilfen das organische Material. Anhand der darin enthaltenen Umwelt-DNA (</w:t>
            </w:r>
            <w:proofErr w:type="spellStart"/>
            <w:r w:rsidRPr="00C80808">
              <w:rPr>
                <w:rFonts w:ascii="BundesSans Office" w:hAnsi="BundesSans Office" w:cs="Arial"/>
              </w:rPr>
              <w:t>eDNA</w:t>
            </w:r>
            <w:proofErr w:type="spellEnd"/>
            <w:r w:rsidRPr="00C80808">
              <w:rPr>
                <w:rFonts w:ascii="BundesSans Office" w:hAnsi="BundesSans Office" w:cs="Arial"/>
              </w:rPr>
              <w:t>) werden hohlraumnistende Wildbienen bis auf Artniveau identifiziert. Die Daten werden mittels DNA-</w:t>
            </w:r>
            <w:proofErr w:type="spellStart"/>
            <w:r w:rsidRPr="00C80808">
              <w:rPr>
                <w:rFonts w:ascii="BundesSans Office" w:hAnsi="BundesSans Office" w:cs="Arial"/>
              </w:rPr>
              <w:t>Metabarcoding</w:t>
            </w:r>
            <w:proofErr w:type="spellEnd"/>
            <w:r w:rsidRPr="00C80808">
              <w:rPr>
                <w:rFonts w:ascii="BundesSans Office" w:hAnsi="BundesSans Office" w:cs="Arial"/>
              </w:rPr>
              <w:t xml:space="preserve"> und Hochdurchsatz-Sequenzierung erhoben.</w:t>
            </w:r>
          </w:p>
        </w:tc>
      </w:tr>
      <w:tr w:rsidR="00C80808" w:rsidRPr="00C80808" w14:paraId="1B486FE6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4090607F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Berechnung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7DD2CE7C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proofErr w:type="spellStart"/>
            <w:r w:rsidRPr="00C80808">
              <w:rPr>
                <w:rFonts w:ascii="BundesSans Office" w:hAnsi="BundesSans Office" w:cs="Arial"/>
              </w:rPr>
              <w:t>Faith’s</w:t>
            </w:r>
            <w:proofErr w:type="spellEnd"/>
            <w:r w:rsidRPr="00C80808">
              <w:rPr>
                <w:rFonts w:ascii="BundesSans Office" w:hAnsi="BundesSans Office" w:cs="Arial"/>
              </w:rPr>
              <w:t xml:space="preserve"> Phylogenetische Diversität (PD) ist die Summe aller Kantenlängen des phylogenetischen Baums, der alle nachgewiesenen taxonomischen Einheiten enthält (Faith 1992).</w:t>
            </w:r>
          </w:p>
        </w:tc>
      </w:tr>
      <w:tr w:rsidR="00C80808" w:rsidRPr="00C80808" w14:paraId="12E32A51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44F97FFB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Räumliche Berichtsebene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32AF8737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Der auf Ebene der 3x3 km</w:t>
            </w:r>
            <w:r w:rsidRPr="00C80808">
              <w:rPr>
                <w:rFonts w:ascii="BundesSans Office" w:hAnsi="BundesSans Office" w:cs="Arial"/>
                <w:vertAlign w:val="superscript"/>
              </w:rPr>
              <w:t>2</w:t>
            </w:r>
            <w:r w:rsidRPr="00C80808">
              <w:rPr>
                <w:rFonts w:ascii="BundesSans Office" w:hAnsi="BundesSans Office" w:cs="Arial"/>
              </w:rPr>
              <w:t xml:space="preserve"> großen LUCAS-Flächen berechnete Indikatorwert wird auf nationaler Ebene berichtet. Dort, wo es die räumliche Abdeckung von LUCAS-Flächen erlaubt, kann die nationale Berichtsebene um agrarraumspezifische Aussagen ergänzt werden.</w:t>
            </w:r>
          </w:p>
        </w:tc>
      </w:tr>
      <w:tr w:rsidR="00C80808" w:rsidRPr="00C80808" w14:paraId="7CB64DFA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2FDB1708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Berichtsintervall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030F4AD4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Nach Start des Monitorings wird der Indikator jährlich berichtet.</w:t>
            </w:r>
          </w:p>
        </w:tc>
      </w:tr>
      <w:tr w:rsidR="00C80808" w:rsidRPr="00C80808" w14:paraId="16F39693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  <w:bottom w:val="single" w:sz="8" w:space="0" w:color="C3DCA5"/>
            </w:tcBorders>
          </w:tcPr>
          <w:p w14:paraId="78DA5B0B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Interpretation</w:t>
            </w:r>
          </w:p>
        </w:tc>
        <w:tc>
          <w:tcPr>
            <w:tcW w:w="7303" w:type="dxa"/>
            <w:tcBorders>
              <w:top w:val="single" w:sz="8" w:space="0" w:color="C3DCA5"/>
              <w:bottom w:val="single" w:sz="8" w:space="0" w:color="C3DCA5"/>
            </w:tcBorders>
          </w:tcPr>
          <w:p w14:paraId="6BE3A310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80808">
              <w:rPr>
                <w:rFonts w:ascii="BundesSans Office" w:hAnsi="BundesSans Office" w:cs="Arial"/>
              </w:rPr>
              <w:t>Der Indikator nimmt Werte von 0 bis unendlich an. Höhere Werte des Indikators implizieren eine größere phylogenetische Vielfalt.</w:t>
            </w:r>
          </w:p>
        </w:tc>
      </w:tr>
      <w:tr w:rsidR="00C80808" w:rsidRPr="00C80808" w14:paraId="2D28116F" w14:textId="77777777" w:rsidTr="00110FBF">
        <w:trPr>
          <w:trHeight w:val="283"/>
        </w:trPr>
        <w:tc>
          <w:tcPr>
            <w:tcW w:w="1910" w:type="dxa"/>
            <w:tcBorders>
              <w:top w:val="single" w:sz="8" w:space="0" w:color="C3DCA5"/>
            </w:tcBorders>
          </w:tcPr>
          <w:p w14:paraId="19E43F53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80808">
              <w:rPr>
                <w:rFonts w:ascii="BundesSans Office" w:hAnsi="BundesSans Office" w:cs="Arial"/>
                <w:b/>
              </w:rPr>
              <w:t>Limitierung(en)</w:t>
            </w:r>
          </w:p>
        </w:tc>
        <w:tc>
          <w:tcPr>
            <w:tcW w:w="7303" w:type="dxa"/>
            <w:tcBorders>
              <w:top w:val="single" w:sz="8" w:space="0" w:color="C3DCA5"/>
            </w:tcBorders>
          </w:tcPr>
          <w:p w14:paraId="645E1649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80808">
              <w:rPr>
                <w:rFonts w:ascii="BundesSans Office" w:hAnsi="BundesSans Office" w:cs="Arial"/>
              </w:rPr>
              <w:t>Die Phylogenie wird auf Basis eines Teil-Fragments des COI-Gens der nachgewiesenen Wildbienen-Taxa berechnet. Die Häufigkeit der verschiedenen Taxa wird hierbei nicht berücksichtigt. Häufig vorkommende und seltene Arten fließen somit gleichwertig in die Indikatorberechnung ein.</w:t>
            </w:r>
          </w:p>
          <w:p w14:paraId="0889E522" w14:textId="77777777" w:rsidR="00C80808" w:rsidRPr="00C80808" w:rsidRDefault="00C80808" w:rsidP="00C80808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80808">
              <w:rPr>
                <w:rFonts w:ascii="BundesSans Office" w:hAnsi="BundesSans Office" w:cs="Arial"/>
              </w:rPr>
              <w:t>Der Zeitversatz zwischen Nisthilfe-Besiedlung und Datenverfügbarkeit beträgt etwa zwei Jahre.</w:t>
            </w:r>
          </w:p>
        </w:tc>
      </w:tr>
    </w:tbl>
    <w:p w14:paraId="2954C494" w14:textId="77777777" w:rsidR="00887AB8" w:rsidRPr="003F76B6" w:rsidRDefault="00887AB8" w:rsidP="007274C8"/>
    <w:sectPr w:rsidR="00887AB8" w:rsidRPr="003F76B6" w:rsidSect="00696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701" w:right="1191" w:bottom="1134" w:left="119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868E" w14:textId="77777777" w:rsidR="00CA64DC" w:rsidRDefault="00CA64DC" w:rsidP="009360BF">
      <w:r>
        <w:separator/>
      </w:r>
    </w:p>
    <w:p w14:paraId="01BEEC94" w14:textId="77777777" w:rsidR="00CA64DC" w:rsidRDefault="00CA64DC" w:rsidP="009360BF"/>
  </w:endnote>
  <w:endnote w:type="continuationSeparator" w:id="0">
    <w:p w14:paraId="081AC9EE" w14:textId="77777777" w:rsidR="00CA64DC" w:rsidRDefault="00CA64DC" w:rsidP="009360BF">
      <w:r>
        <w:continuationSeparator/>
      </w:r>
    </w:p>
    <w:p w14:paraId="06C1669D" w14:textId="77777777" w:rsidR="00CA64DC" w:rsidRDefault="00CA64DC" w:rsidP="00936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7941" w14:textId="77777777" w:rsidR="007274C8" w:rsidRDefault="00727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7974" w14:textId="77777777" w:rsidR="007274C8" w:rsidRDefault="007274C8" w:rsidP="007274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6E6B" w14:textId="77777777" w:rsidR="007274C8" w:rsidRDefault="007274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2D25" w14:textId="77777777" w:rsidR="00CA64DC" w:rsidRDefault="00CA64DC" w:rsidP="009360BF">
      <w:r>
        <w:separator/>
      </w:r>
    </w:p>
  </w:footnote>
  <w:footnote w:type="continuationSeparator" w:id="0">
    <w:p w14:paraId="2549F3AD" w14:textId="77777777" w:rsidR="00CA64DC" w:rsidRDefault="00CA64DC" w:rsidP="009360BF">
      <w:r>
        <w:continuationSeparator/>
      </w:r>
    </w:p>
    <w:p w14:paraId="2116067F" w14:textId="77777777" w:rsidR="00CA64DC" w:rsidRDefault="00CA64DC" w:rsidP="00936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AFF5" w14:textId="77777777" w:rsidR="007274C8" w:rsidRDefault="007274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DDB8" w14:textId="77777777" w:rsidR="008D0BBC" w:rsidRPr="008D0BBC" w:rsidRDefault="008D0BBC" w:rsidP="007274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B8A7" w14:textId="77777777" w:rsidR="007274C8" w:rsidRDefault="00727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F8E"/>
    <w:multiLevelType w:val="multilevel"/>
    <w:tmpl w:val="994A2B2A"/>
    <w:numStyleLink w:val="Formatvorlage3"/>
  </w:abstractNum>
  <w:abstractNum w:abstractNumId="1" w15:restartNumberingAfterBreak="0">
    <w:nsid w:val="0A6164A0"/>
    <w:multiLevelType w:val="multilevel"/>
    <w:tmpl w:val="F1E80FD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6F0021"/>
    <w:multiLevelType w:val="hybridMultilevel"/>
    <w:tmpl w:val="28F47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973F9"/>
    <w:multiLevelType w:val="hybridMultilevel"/>
    <w:tmpl w:val="6EDEAA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3A4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251DA"/>
    <w:multiLevelType w:val="multilevel"/>
    <w:tmpl w:val="994A2B2A"/>
    <w:numStyleLink w:val="Formatvorlage3"/>
  </w:abstractNum>
  <w:abstractNum w:abstractNumId="5" w15:restartNumberingAfterBreak="0">
    <w:nsid w:val="173D2728"/>
    <w:multiLevelType w:val="multilevel"/>
    <w:tmpl w:val="15801AD4"/>
    <w:styleLink w:val="Formatvorlage1"/>
    <w:lvl w:ilvl="0">
      <w:start w:val="1"/>
      <w:numFmt w:val="bullet"/>
      <w:pStyle w:val="Liste-1"/>
      <w:lvlText w:val=""/>
      <w:lvlJc w:val="left"/>
      <w:pPr>
        <w:ind w:left="284" w:hanging="284"/>
      </w:pPr>
      <w:rPr>
        <w:rFonts w:ascii="Symbol" w:hAnsi="Symbol" w:hint="default"/>
        <w:b w:val="0"/>
        <w:color w:val="008CD2"/>
        <w:u w:val="none" w:color="C0504D" w:themeColor="accent2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Calibri" w:hAnsi="Calibri" w:hint="default"/>
        <w:b/>
        <w:i w:val="0"/>
        <w:color w:val="008CD2"/>
        <w:sz w:val="21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008CD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186C1445"/>
    <w:multiLevelType w:val="multilevel"/>
    <w:tmpl w:val="994A2B2A"/>
    <w:numStyleLink w:val="Formatvorlage3"/>
  </w:abstractNum>
  <w:abstractNum w:abstractNumId="7" w15:restartNumberingAfterBreak="0">
    <w:nsid w:val="18AA63DD"/>
    <w:multiLevelType w:val="multilevel"/>
    <w:tmpl w:val="FD02EA68"/>
    <w:numStyleLink w:val="Formatvorlage2"/>
  </w:abstractNum>
  <w:abstractNum w:abstractNumId="8" w15:restartNumberingAfterBreak="0">
    <w:nsid w:val="19A873C1"/>
    <w:multiLevelType w:val="multilevel"/>
    <w:tmpl w:val="994A2B2A"/>
    <w:numStyleLink w:val="Formatvorlage3"/>
  </w:abstractNum>
  <w:abstractNum w:abstractNumId="9" w15:restartNumberingAfterBreak="0">
    <w:nsid w:val="210576CB"/>
    <w:multiLevelType w:val="multilevel"/>
    <w:tmpl w:val="15801AD4"/>
    <w:numStyleLink w:val="Formatvorlage1"/>
  </w:abstractNum>
  <w:abstractNum w:abstractNumId="10" w15:restartNumberingAfterBreak="0">
    <w:nsid w:val="239E1F7A"/>
    <w:multiLevelType w:val="multilevel"/>
    <w:tmpl w:val="994A2B2A"/>
    <w:numStyleLink w:val="Formatvorlage3"/>
  </w:abstractNum>
  <w:abstractNum w:abstractNumId="11" w15:restartNumberingAfterBreak="0">
    <w:nsid w:val="242972B4"/>
    <w:multiLevelType w:val="multilevel"/>
    <w:tmpl w:val="FD02EA68"/>
    <w:numStyleLink w:val="Formatvorlage2"/>
  </w:abstractNum>
  <w:abstractNum w:abstractNumId="12" w15:restartNumberingAfterBreak="0">
    <w:nsid w:val="24F90F99"/>
    <w:multiLevelType w:val="multilevel"/>
    <w:tmpl w:val="15801AD4"/>
    <w:numStyleLink w:val="Formatvorlage1"/>
  </w:abstractNum>
  <w:abstractNum w:abstractNumId="13" w15:restartNumberingAfterBreak="0">
    <w:nsid w:val="26640A57"/>
    <w:multiLevelType w:val="multilevel"/>
    <w:tmpl w:val="FD02EA68"/>
    <w:numStyleLink w:val="Formatvorlage2"/>
  </w:abstractNum>
  <w:abstractNum w:abstractNumId="14" w15:restartNumberingAfterBreak="0">
    <w:nsid w:val="280F7469"/>
    <w:multiLevelType w:val="multilevel"/>
    <w:tmpl w:val="FD02EA68"/>
    <w:numStyleLink w:val="Formatvorlage2"/>
  </w:abstractNum>
  <w:abstractNum w:abstractNumId="15" w15:restartNumberingAfterBreak="0">
    <w:nsid w:val="2ABF1512"/>
    <w:multiLevelType w:val="multilevel"/>
    <w:tmpl w:val="FD02EA68"/>
    <w:numStyleLink w:val="Formatvorlage2"/>
  </w:abstractNum>
  <w:abstractNum w:abstractNumId="16" w15:restartNumberingAfterBreak="0">
    <w:nsid w:val="2EF813E8"/>
    <w:multiLevelType w:val="multilevel"/>
    <w:tmpl w:val="E00A6E2E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1">
      <w:start w:val="7"/>
      <w:numFmt w:val="decimal"/>
      <w:lvlText w:val="%1.%2"/>
      <w:lvlJc w:val="left"/>
      <w:pPr>
        <w:ind w:left="785" w:hanging="36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</w:abstractNum>
  <w:abstractNum w:abstractNumId="17" w15:restartNumberingAfterBreak="0">
    <w:nsid w:val="2F174855"/>
    <w:multiLevelType w:val="multilevel"/>
    <w:tmpl w:val="FD02EA68"/>
    <w:numStyleLink w:val="Formatvorlage2"/>
  </w:abstractNum>
  <w:abstractNum w:abstractNumId="18" w15:restartNumberingAfterBreak="0">
    <w:nsid w:val="331855DA"/>
    <w:multiLevelType w:val="multilevel"/>
    <w:tmpl w:val="994A2B2A"/>
    <w:numStyleLink w:val="Formatvorlage3"/>
  </w:abstractNum>
  <w:abstractNum w:abstractNumId="19" w15:restartNumberingAfterBreak="0">
    <w:nsid w:val="34FC69FE"/>
    <w:multiLevelType w:val="multilevel"/>
    <w:tmpl w:val="994A2B2A"/>
    <w:numStyleLink w:val="Formatvorlage3"/>
  </w:abstractNum>
  <w:abstractNum w:abstractNumId="20" w15:restartNumberingAfterBreak="0">
    <w:nsid w:val="35360EBC"/>
    <w:multiLevelType w:val="multilevel"/>
    <w:tmpl w:val="FD02EA68"/>
    <w:styleLink w:val="Formatvorlage2"/>
    <w:lvl w:ilvl="0">
      <w:start w:val="1"/>
      <w:numFmt w:val="bullet"/>
      <w:pStyle w:val="Liste-2"/>
      <w:lvlText w:val="‒"/>
      <w:lvlJc w:val="left"/>
      <w:pPr>
        <w:ind w:left="284" w:hanging="284"/>
      </w:pPr>
      <w:rPr>
        <w:rFonts w:ascii="Calibri" w:hAnsi="Calibri" w:hint="default"/>
        <w:b/>
        <w:i w:val="0"/>
        <w:color w:val="008CD2"/>
        <w:sz w:val="21"/>
        <w:szCs w:val="32"/>
        <w:u w:val="none" w:color="C0504D" w:themeColor="accen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8CD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008CD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1" w15:restartNumberingAfterBreak="0">
    <w:nsid w:val="3B6607EA"/>
    <w:multiLevelType w:val="multilevel"/>
    <w:tmpl w:val="F1E80FD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5C7A11"/>
    <w:multiLevelType w:val="multilevel"/>
    <w:tmpl w:val="15801AD4"/>
    <w:numStyleLink w:val="Formatvorlage1"/>
  </w:abstractNum>
  <w:abstractNum w:abstractNumId="23" w15:restartNumberingAfterBreak="0">
    <w:nsid w:val="46CD5DFB"/>
    <w:multiLevelType w:val="multilevel"/>
    <w:tmpl w:val="994A2B2A"/>
    <w:numStyleLink w:val="Formatvorlage3"/>
  </w:abstractNum>
  <w:abstractNum w:abstractNumId="24" w15:restartNumberingAfterBreak="0">
    <w:nsid w:val="566C3A9B"/>
    <w:multiLevelType w:val="multilevel"/>
    <w:tmpl w:val="A964D06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25" w15:restartNumberingAfterBreak="0">
    <w:nsid w:val="59653D74"/>
    <w:multiLevelType w:val="multilevel"/>
    <w:tmpl w:val="994A2B2A"/>
    <w:styleLink w:val="Formatvorlage3"/>
    <w:lvl w:ilvl="0">
      <w:start w:val="1"/>
      <w:numFmt w:val="decimal"/>
      <w:pStyle w:val="Liste-3"/>
      <w:lvlText w:val="(%1)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85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247" w:hanging="2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1814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722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175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6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082" w:hanging="453"/>
      </w:pPr>
      <w:rPr>
        <w:rFonts w:hint="default"/>
      </w:rPr>
    </w:lvl>
  </w:abstractNum>
  <w:abstractNum w:abstractNumId="26" w15:restartNumberingAfterBreak="0">
    <w:nsid w:val="5DC81DF9"/>
    <w:multiLevelType w:val="multilevel"/>
    <w:tmpl w:val="994A2B2A"/>
    <w:numStyleLink w:val="Formatvorlage3"/>
  </w:abstractNum>
  <w:abstractNum w:abstractNumId="27" w15:restartNumberingAfterBreak="0">
    <w:nsid w:val="659022DC"/>
    <w:multiLevelType w:val="multilevel"/>
    <w:tmpl w:val="994A2B2A"/>
    <w:numStyleLink w:val="Formatvorlage3"/>
  </w:abstractNum>
  <w:abstractNum w:abstractNumId="28" w15:restartNumberingAfterBreak="0">
    <w:nsid w:val="65D26BA9"/>
    <w:multiLevelType w:val="multilevel"/>
    <w:tmpl w:val="15801AD4"/>
    <w:numStyleLink w:val="Formatvorlage1"/>
  </w:abstractNum>
  <w:abstractNum w:abstractNumId="29" w15:restartNumberingAfterBreak="0">
    <w:nsid w:val="66BA4522"/>
    <w:multiLevelType w:val="hybridMultilevel"/>
    <w:tmpl w:val="C6403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92798"/>
    <w:multiLevelType w:val="multilevel"/>
    <w:tmpl w:val="994A2B2A"/>
    <w:numStyleLink w:val="Formatvorlage3"/>
  </w:abstractNum>
  <w:num w:numId="1">
    <w:abstractNumId w:val="24"/>
  </w:num>
  <w:num w:numId="2">
    <w:abstractNumId w:val="5"/>
  </w:num>
  <w:num w:numId="3">
    <w:abstractNumId w:val="20"/>
  </w:num>
  <w:num w:numId="4">
    <w:abstractNumId w:val="25"/>
  </w:num>
  <w:num w:numId="5">
    <w:abstractNumId w:val="11"/>
  </w:num>
  <w:num w:numId="6">
    <w:abstractNumId w:val="9"/>
  </w:num>
  <w:num w:numId="7">
    <w:abstractNumId w:val="21"/>
  </w:num>
  <w:num w:numId="8">
    <w:abstractNumId w:val="29"/>
  </w:num>
  <w:num w:numId="9">
    <w:abstractNumId w:val="2"/>
  </w:num>
  <w:num w:numId="10">
    <w:abstractNumId w:val="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</w:num>
  <w:num w:numId="20">
    <w:abstractNumId w:val="14"/>
  </w:num>
  <w:num w:numId="21">
    <w:abstractNumId w:val="12"/>
  </w:num>
  <w:num w:numId="22">
    <w:abstractNumId w:val="7"/>
  </w:num>
  <w:num w:numId="23">
    <w:abstractNumId w:val="8"/>
  </w:num>
  <w:num w:numId="24">
    <w:abstractNumId w:val="28"/>
  </w:num>
  <w:num w:numId="25">
    <w:abstractNumId w:val="15"/>
  </w:num>
  <w:num w:numId="26">
    <w:abstractNumId w:val="19"/>
  </w:num>
  <w:num w:numId="27">
    <w:abstractNumId w:val="16"/>
  </w:num>
  <w:num w:numId="28">
    <w:abstractNumId w:val="10"/>
  </w:num>
  <w:num w:numId="29">
    <w:abstractNumId w:val="30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454" w:hanging="45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851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701"/>
          </w:tabs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268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2722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175" w:hanging="45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3629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4082" w:hanging="453"/>
        </w:pPr>
        <w:rPr>
          <w:rFonts w:hint="default"/>
        </w:rPr>
      </w:lvl>
    </w:lvlOverride>
  </w:num>
  <w:num w:numId="30">
    <w:abstractNumId w:val="18"/>
  </w:num>
  <w:num w:numId="31">
    <w:abstractNumId w:val="27"/>
  </w:num>
  <w:num w:numId="32">
    <w:abstractNumId w:val="0"/>
  </w:num>
  <w:num w:numId="33">
    <w:abstractNumId w:val="4"/>
  </w:num>
  <w:num w:numId="34">
    <w:abstractNumId w:val="13"/>
  </w:num>
  <w:num w:numId="35">
    <w:abstractNumId w:val="17"/>
  </w:num>
  <w:num w:numId="36">
    <w:abstractNumId w:val="2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0"/>
  <w:hyphenationZone w:val="425"/>
  <w:doNotHyphenateCaps/>
  <w:drawingGridHorizontalSpacing w:val="105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DC"/>
    <w:rsid w:val="00001435"/>
    <w:rsid w:val="000114BB"/>
    <w:rsid w:val="00011F3D"/>
    <w:rsid w:val="000155C5"/>
    <w:rsid w:val="00016397"/>
    <w:rsid w:val="0002211F"/>
    <w:rsid w:val="00030A59"/>
    <w:rsid w:val="00034CB3"/>
    <w:rsid w:val="000358AD"/>
    <w:rsid w:val="000367D7"/>
    <w:rsid w:val="00041C64"/>
    <w:rsid w:val="0005696F"/>
    <w:rsid w:val="00056F6A"/>
    <w:rsid w:val="00062BDE"/>
    <w:rsid w:val="00064FC8"/>
    <w:rsid w:val="00065FE0"/>
    <w:rsid w:val="0007053D"/>
    <w:rsid w:val="00084F59"/>
    <w:rsid w:val="0009635C"/>
    <w:rsid w:val="0009696B"/>
    <w:rsid w:val="000A37C9"/>
    <w:rsid w:val="000A4656"/>
    <w:rsid w:val="000B0FA9"/>
    <w:rsid w:val="000B5007"/>
    <w:rsid w:val="000C2B83"/>
    <w:rsid w:val="000C41A5"/>
    <w:rsid w:val="000C4895"/>
    <w:rsid w:val="000C51D9"/>
    <w:rsid w:val="000C54CA"/>
    <w:rsid w:val="000C60E9"/>
    <w:rsid w:val="000D28DB"/>
    <w:rsid w:val="000D40EB"/>
    <w:rsid w:val="000D42C7"/>
    <w:rsid w:val="000E03FC"/>
    <w:rsid w:val="000E7C7C"/>
    <w:rsid w:val="0010310F"/>
    <w:rsid w:val="001057FA"/>
    <w:rsid w:val="00111F1B"/>
    <w:rsid w:val="00114EC0"/>
    <w:rsid w:val="00122F14"/>
    <w:rsid w:val="00136AAA"/>
    <w:rsid w:val="00144157"/>
    <w:rsid w:val="001515FA"/>
    <w:rsid w:val="00152E0B"/>
    <w:rsid w:val="00162F81"/>
    <w:rsid w:val="00165D2B"/>
    <w:rsid w:val="0016614B"/>
    <w:rsid w:val="00166666"/>
    <w:rsid w:val="00170209"/>
    <w:rsid w:val="00172F5A"/>
    <w:rsid w:val="00186739"/>
    <w:rsid w:val="00186916"/>
    <w:rsid w:val="001A0F91"/>
    <w:rsid w:val="001A5976"/>
    <w:rsid w:val="001A64F0"/>
    <w:rsid w:val="001A6DD0"/>
    <w:rsid w:val="001B24FD"/>
    <w:rsid w:val="001B3783"/>
    <w:rsid w:val="001C6986"/>
    <w:rsid w:val="001C7BD8"/>
    <w:rsid w:val="001D3BE5"/>
    <w:rsid w:val="001E04AA"/>
    <w:rsid w:val="001F7A69"/>
    <w:rsid w:val="0020048F"/>
    <w:rsid w:val="00207750"/>
    <w:rsid w:val="0021245C"/>
    <w:rsid w:val="002149F0"/>
    <w:rsid w:val="00221E07"/>
    <w:rsid w:val="00232E4B"/>
    <w:rsid w:val="002369FE"/>
    <w:rsid w:val="00244246"/>
    <w:rsid w:val="00253AA3"/>
    <w:rsid w:val="00255984"/>
    <w:rsid w:val="00255FEC"/>
    <w:rsid w:val="00266E3E"/>
    <w:rsid w:val="00267AE7"/>
    <w:rsid w:val="00270BD3"/>
    <w:rsid w:val="00274A92"/>
    <w:rsid w:val="00284F93"/>
    <w:rsid w:val="00287038"/>
    <w:rsid w:val="00287EFE"/>
    <w:rsid w:val="00294194"/>
    <w:rsid w:val="002945AA"/>
    <w:rsid w:val="00295755"/>
    <w:rsid w:val="00296FF7"/>
    <w:rsid w:val="00297F8A"/>
    <w:rsid w:val="002A6FC4"/>
    <w:rsid w:val="002B3E94"/>
    <w:rsid w:val="002D290C"/>
    <w:rsid w:val="002D4826"/>
    <w:rsid w:val="002E5410"/>
    <w:rsid w:val="00303602"/>
    <w:rsid w:val="003069DC"/>
    <w:rsid w:val="00310480"/>
    <w:rsid w:val="003131D3"/>
    <w:rsid w:val="003206CA"/>
    <w:rsid w:val="00323640"/>
    <w:rsid w:val="00325C1D"/>
    <w:rsid w:val="00325CAA"/>
    <w:rsid w:val="00337020"/>
    <w:rsid w:val="00343AC4"/>
    <w:rsid w:val="003529BD"/>
    <w:rsid w:val="003627EC"/>
    <w:rsid w:val="00376998"/>
    <w:rsid w:val="00383E9C"/>
    <w:rsid w:val="0039057B"/>
    <w:rsid w:val="00397772"/>
    <w:rsid w:val="00397BAA"/>
    <w:rsid w:val="003A1ED8"/>
    <w:rsid w:val="003A4FC7"/>
    <w:rsid w:val="003A767F"/>
    <w:rsid w:val="003B320B"/>
    <w:rsid w:val="003B6FD6"/>
    <w:rsid w:val="003B7AB3"/>
    <w:rsid w:val="003C26D9"/>
    <w:rsid w:val="003C34DC"/>
    <w:rsid w:val="003C3B05"/>
    <w:rsid w:val="003D2C1A"/>
    <w:rsid w:val="003D5402"/>
    <w:rsid w:val="003E4CC6"/>
    <w:rsid w:val="003F3D23"/>
    <w:rsid w:val="003F58FA"/>
    <w:rsid w:val="003F76B6"/>
    <w:rsid w:val="0040139D"/>
    <w:rsid w:val="0040742A"/>
    <w:rsid w:val="00431B4A"/>
    <w:rsid w:val="00440DB8"/>
    <w:rsid w:val="00442636"/>
    <w:rsid w:val="00442F88"/>
    <w:rsid w:val="00446FCD"/>
    <w:rsid w:val="00452BC9"/>
    <w:rsid w:val="004573D0"/>
    <w:rsid w:val="00470117"/>
    <w:rsid w:val="00477149"/>
    <w:rsid w:val="0047736E"/>
    <w:rsid w:val="00482DF4"/>
    <w:rsid w:val="00485997"/>
    <w:rsid w:val="00492457"/>
    <w:rsid w:val="00493FA1"/>
    <w:rsid w:val="00495E7B"/>
    <w:rsid w:val="004A1840"/>
    <w:rsid w:val="004A4C64"/>
    <w:rsid w:val="004C0438"/>
    <w:rsid w:val="004C346D"/>
    <w:rsid w:val="004D2441"/>
    <w:rsid w:val="004D307B"/>
    <w:rsid w:val="004D4418"/>
    <w:rsid w:val="004D6A2F"/>
    <w:rsid w:val="004D7170"/>
    <w:rsid w:val="004E6A76"/>
    <w:rsid w:val="004F4F0F"/>
    <w:rsid w:val="005061A8"/>
    <w:rsid w:val="005071B9"/>
    <w:rsid w:val="00523D64"/>
    <w:rsid w:val="00540636"/>
    <w:rsid w:val="005424C7"/>
    <w:rsid w:val="0054292C"/>
    <w:rsid w:val="005579C4"/>
    <w:rsid w:val="00563344"/>
    <w:rsid w:val="00570B33"/>
    <w:rsid w:val="005762B3"/>
    <w:rsid w:val="005A2C7C"/>
    <w:rsid w:val="005A7C39"/>
    <w:rsid w:val="005B443F"/>
    <w:rsid w:val="005C50B6"/>
    <w:rsid w:val="005D548D"/>
    <w:rsid w:val="005E3794"/>
    <w:rsid w:val="005E62A2"/>
    <w:rsid w:val="005F5045"/>
    <w:rsid w:val="005F66B0"/>
    <w:rsid w:val="005F6754"/>
    <w:rsid w:val="005F7D72"/>
    <w:rsid w:val="005F7D8C"/>
    <w:rsid w:val="00601E54"/>
    <w:rsid w:val="0060286E"/>
    <w:rsid w:val="006156D0"/>
    <w:rsid w:val="00621E4F"/>
    <w:rsid w:val="00622D0D"/>
    <w:rsid w:val="00627319"/>
    <w:rsid w:val="006410BE"/>
    <w:rsid w:val="00644B5B"/>
    <w:rsid w:val="0064550D"/>
    <w:rsid w:val="00652044"/>
    <w:rsid w:val="00654583"/>
    <w:rsid w:val="006554DA"/>
    <w:rsid w:val="00660DCF"/>
    <w:rsid w:val="006631FE"/>
    <w:rsid w:val="00663D4E"/>
    <w:rsid w:val="00664C79"/>
    <w:rsid w:val="00681B3F"/>
    <w:rsid w:val="00692E4C"/>
    <w:rsid w:val="006962C8"/>
    <w:rsid w:val="006A0574"/>
    <w:rsid w:val="006A50F1"/>
    <w:rsid w:val="006B07F6"/>
    <w:rsid w:val="006B3C44"/>
    <w:rsid w:val="006B3CBD"/>
    <w:rsid w:val="006B5D33"/>
    <w:rsid w:val="006C1AA2"/>
    <w:rsid w:val="006C36AD"/>
    <w:rsid w:val="006C5D63"/>
    <w:rsid w:val="006E3A39"/>
    <w:rsid w:val="006F3406"/>
    <w:rsid w:val="00703E00"/>
    <w:rsid w:val="007079FB"/>
    <w:rsid w:val="0071056C"/>
    <w:rsid w:val="00726E75"/>
    <w:rsid w:val="007274C8"/>
    <w:rsid w:val="00730001"/>
    <w:rsid w:val="007323E8"/>
    <w:rsid w:val="00733924"/>
    <w:rsid w:val="0074122A"/>
    <w:rsid w:val="007418A5"/>
    <w:rsid w:val="00752F5B"/>
    <w:rsid w:val="00755CED"/>
    <w:rsid w:val="007622F8"/>
    <w:rsid w:val="00766B9C"/>
    <w:rsid w:val="00791767"/>
    <w:rsid w:val="007960DF"/>
    <w:rsid w:val="007A07AA"/>
    <w:rsid w:val="007A48E2"/>
    <w:rsid w:val="007B69AE"/>
    <w:rsid w:val="007C4B0B"/>
    <w:rsid w:val="007C67B8"/>
    <w:rsid w:val="007D0786"/>
    <w:rsid w:val="007D3B9B"/>
    <w:rsid w:val="007D6ED1"/>
    <w:rsid w:val="007E5BCC"/>
    <w:rsid w:val="007F5F84"/>
    <w:rsid w:val="00802B8E"/>
    <w:rsid w:val="00805269"/>
    <w:rsid w:val="008147F7"/>
    <w:rsid w:val="008166D6"/>
    <w:rsid w:val="00816EF8"/>
    <w:rsid w:val="008227CA"/>
    <w:rsid w:val="00837EB3"/>
    <w:rsid w:val="00850203"/>
    <w:rsid w:val="00851762"/>
    <w:rsid w:val="008545E8"/>
    <w:rsid w:val="00857244"/>
    <w:rsid w:val="00861AB6"/>
    <w:rsid w:val="00865192"/>
    <w:rsid w:val="00865255"/>
    <w:rsid w:val="00867F43"/>
    <w:rsid w:val="008730E6"/>
    <w:rsid w:val="008743D0"/>
    <w:rsid w:val="00874FDE"/>
    <w:rsid w:val="00881E68"/>
    <w:rsid w:val="008838F7"/>
    <w:rsid w:val="00887AB8"/>
    <w:rsid w:val="008A0FD1"/>
    <w:rsid w:val="008C5042"/>
    <w:rsid w:val="008D0BBC"/>
    <w:rsid w:val="008D0DE5"/>
    <w:rsid w:val="008D2916"/>
    <w:rsid w:val="008D7B1B"/>
    <w:rsid w:val="008E36DC"/>
    <w:rsid w:val="008E7959"/>
    <w:rsid w:val="008F1BE3"/>
    <w:rsid w:val="00902AE2"/>
    <w:rsid w:val="00916BAA"/>
    <w:rsid w:val="00916D31"/>
    <w:rsid w:val="00921D26"/>
    <w:rsid w:val="009312F1"/>
    <w:rsid w:val="009360BF"/>
    <w:rsid w:val="009505D2"/>
    <w:rsid w:val="009521DD"/>
    <w:rsid w:val="00952357"/>
    <w:rsid w:val="0095247D"/>
    <w:rsid w:val="0095332F"/>
    <w:rsid w:val="00960D10"/>
    <w:rsid w:val="009623E4"/>
    <w:rsid w:val="0096678C"/>
    <w:rsid w:val="00967451"/>
    <w:rsid w:val="00972039"/>
    <w:rsid w:val="00993DAE"/>
    <w:rsid w:val="009A1178"/>
    <w:rsid w:val="009A4B82"/>
    <w:rsid w:val="009A73CE"/>
    <w:rsid w:val="009B1175"/>
    <w:rsid w:val="009B3384"/>
    <w:rsid w:val="009B5EA6"/>
    <w:rsid w:val="009B788C"/>
    <w:rsid w:val="009C3E2F"/>
    <w:rsid w:val="009C667D"/>
    <w:rsid w:val="009C71A2"/>
    <w:rsid w:val="009C7647"/>
    <w:rsid w:val="009D59E6"/>
    <w:rsid w:val="009D6FCA"/>
    <w:rsid w:val="009E2F59"/>
    <w:rsid w:val="009E74D5"/>
    <w:rsid w:val="00A06932"/>
    <w:rsid w:val="00A23A0E"/>
    <w:rsid w:val="00A24217"/>
    <w:rsid w:val="00A24E2E"/>
    <w:rsid w:val="00A311AA"/>
    <w:rsid w:val="00A45274"/>
    <w:rsid w:val="00A508B7"/>
    <w:rsid w:val="00A71471"/>
    <w:rsid w:val="00A74C04"/>
    <w:rsid w:val="00A758EF"/>
    <w:rsid w:val="00A76EA0"/>
    <w:rsid w:val="00A80A75"/>
    <w:rsid w:val="00A92602"/>
    <w:rsid w:val="00AB0047"/>
    <w:rsid w:val="00AB5512"/>
    <w:rsid w:val="00AC689B"/>
    <w:rsid w:val="00AE07EF"/>
    <w:rsid w:val="00AE58CA"/>
    <w:rsid w:val="00AF2E5A"/>
    <w:rsid w:val="00AF345F"/>
    <w:rsid w:val="00AF5271"/>
    <w:rsid w:val="00AF609A"/>
    <w:rsid w:val="00B073E4"/>
    <w:rsid w:val="00B13E45"/>
    <w:rsid w:val="00B20C9C"/>
    <w:rsid w:val="00B31793"/>
    <w:rsid w:val="00B60376"/>
    <w:rsid w:val="00B60D81"/>
    <w:rsid w:val="00B62425"/>
    <w:rsid w:val="00B6266D"/>
    <w:rsid w:val="00B6494E"/>
    <w:rsid w:val="00B677C5"/>
    <w:rsid w:val="00B7697C"/>
    <w:rsid w:val="00B85C27"/>
    <w:rsid w:val="00B92745"/>
    <w:rsid w:val="00B969C7"/>
    <w:rsid w:val="00B9771D"/>
    <w:rsid w:val="00BC0CCC"/>
    <w:rsid w:val="00BC10CB"/>
    <w:rsid w:val="00BC3944"/>
    <w:rsid w:val="00BC79B9"/>
    <w:rsid w:val="00BE15BC"/>
    <w:rsid w:val="00BF0D70"/>
    <w:rsid w:val="00BF0EB5"/>
    <w:rsid w:val="00BF1FFF"/>
    <w:rsid w:val="00BF2EED"/>
    <w:rsid w:val="00BF70C8"/>
    <w:rsid w:val="00C01EE2"/>
    <w:rsid w:val="00C05D27"/>
    <w:rsid w:val="00C10C81"/>
    <w:rsid w:val="00C14CCE"/>
    <w:rsid w:val="00C16787"/>
    <w:rsid w:val="00C25D03"/>
    <w:rsid w:val="00C27AA6"/>
    <w:rsid w:val="00C33631"/>
    <w:rsid w:val="00C34869"/>
    <w:rsid w:val="00C42150"/>
    <w:rsid w:val="00C57AD3"/>
    <w:rsid w:val="00C61AE1"/>
    <w:rsid w:val="00C736E9"/>
    <w:rsid w:val="00C77815"/>
    <w:rsid w:val="00C80808"/>
    <w:rsid w:val="00C825D5"/>
    <w:rsid w:val="00C85697"/>
    <w:rsid w:val="00C92D5C"/>
    <w:rsid w:val="00C93794"/>
    <w:rsid w:val="00CA0A79"/>
    <w:rsid w:val="00CA64DC"/>
    <w:rsid w:val="00CA6F44"/>
    <w:rsid w:val="00CA7C0C"/>
    <w:rsid w:val="00CB12F5"/>
    <w:rsid w:val="00CC166B"/>
    <w:rsid w:val="00D02FC0"/>
    <w:rsid w:val="00D20B51"/>
    <w:rsid w:val="00D20F72"/>
    <w:rsid w:val="00D26905"/>
    <w:rsid w:val="00D30DB2"/>
    <w:rsid w:val="00D46D45"/>
    <w:rsid w:val="00D55E42"/>
    <w:rsid w:val="00D571A7"/>
    <w:rsid w:val="00D57371"/>
    <w:rsid w:val="00D614EC"/>
    <w:rsid w:val="00D700F7"/>
    <w:rsid w:val="00D77947"/>
    <w:rsid w:val="00D82D81"/>
    <w:rsid w:val="00D8330D"/>
    <w:rsid w:val="00D90F62"/>
    <w:rsid w:val="00D96DC0"/>
    <w:rsid w:val="00DA5531"/>
    <w:rsid w:val="00DB17F4"/>
    <w:rsid w:val="00DB1885"/>
    <w:rsid w:val="00DB3B55"/>
    <w:rsid w:val="00DC2ED9"/>
    <w:rsid w:val="00DC4A3E"/>
    <w:rsid w:val="00DD1EC7"/>
    <w:rsid w:val="00DE12CE"/>
    <w:rsid w:val="00DE78F7"/>
    <w:rsid w:val="00DF356C"/>
    <w:rsid w:val="00E00537"/>
    <w:rsid w:val="00E0087E"/>
    <w:rsid w:val="00E00B07"/>
    <w:rsid w:val="00E00F1B"/>
    <w:rsid w:val="00E0433D"/>
    <w:rsid w:val="00E04F14"/>
    <w:rsid w:val="00E10195"/>
    <w:rsid w:val="00E1091E"/>
    <w:rsid w:val="00E22512"/>
    <w:rsid w:val="00E3276E"/>
    <w:rsid w:val="00E331DA"/>
    <w:rsid w:val="00E36FDC"/>
    <w:rsid w:val="00E41102"/>
    <w:rsid w:val="00E45EDD"/>
    <w:rsid w:val="00E53F7F"/>
    <w:rsid w:val="00E5473D"/>
    <w:rsid w:val="00E91F45"/>
    <w:rsid w:val="00EA184F"/>
    <w:rsid w:val="00EA4E85"/>
    <w:rsid w:val="00EB3236"/>
    <w:rsid w:val="00EC2A1C"/>
    <w:rsid w:val="00EC3A30"/>
    <w:rsid w:val="00ED4119"/>
    <w:rsid w:val="00ED6280"/>
    <w:rsid w:val="00ED68D5"/>
    <w:rsid w:val="00EE0156"/>
    <w:rsid w:val="00EE56E2"/>
    <w:rsid w:val="00EE5924"/>
    <w:rsid w:val="00EF0037"/>
    <w:rsid w:val="00EF16BE"/>
    <w:rsid w:val="00F02309"/>
    <w:rsid w:val="00F0504B"/>
    <w:rsid w:val="00F062FC"/>
    <w:rsid w:val="00F1291A"/>
    <w:rsid w:val="00F16417"/>
    <w:rsid w:val="00F17084"/>
    <w:rsid w:val="00F26DEC"/>
    <w:rsid w:val="00F33F56"/>
    <w:rsid w:val="00F340F3"/>
    <w:rsid w:val="00F36DD8"/>
    <w:rsid w:val="00F45FF9"/>
    <w:rsid w:val="00F52C57"/>
    <w:rsid w:val="00F538FF"/>
    <w:rsid w:val="00F55EA0"/>
    <w:rsid w:val="00F65084"/>
    <w:rsid w:val="00F65714"/>
    <w:rsid w:val="00F679DF"/>
    <w:rsid w:val="00F7362C"/>
    <w:rsid w:val="00F75D82"/>
    <w:rsid w:val="00F77894"/>
    <w:rsid w:val="00F85083"/>
    <w:rsid w:val="00FA0357"/>
    <w:rsid w:val="00FA18BF"/>
    <w:rsid w:val="00FA63F5"/>
    <w:rsid w:val="00FB3E35"/>
    <w:rsid w:val="00FC65D5"/>
    <w:rsid w:val="00FC7B14"/>
    <w:rsid w:val="00FE774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686A4"/>
  <w15:chartTrackingRefBased/>
  <w15:docId w15:val="{9BE35D1D-717F-484F-B754-35FB221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6EA0"/>
    <w:pPr>
      <w:suppressAutoHyphens/>
      <w:spacing w:before="160" w:line="280" w:lineRule="atLeast"/>
      <w:jc w:val="both"/>
    </w:pPr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67D"/>
    <w:pPr>
      <w:keepNext/>
      <w:numPr>
        <w:numId w:val="1"/>
      </w:numPr>
      <w:spacing w:before="400"/>
      <w:ind w:left="851" w:hanging="851"/>
      <w:jc w:val="left"/>
      <w:outlineLvl w:val="0"/>
    </w:pPr>
    <w:rPr>
      <w:b/>
      <w:color w:val="008CD2"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9C667D"/>
    <w:pPr>
      <w:keepNext/>
      <w:numPr>
        <w:ilvl w:val="1"/>
        <w:numId w:val="1"/>
      </w:numPr>
      <w:spacing w:before="400"/>
      <w:ind w:left="964" w:hanging="964"/>
      <w:jc w:val="left"/>
      <w:outlineLvl w:val="1"/>
    </w:pPr>
    <w:rPr>
      <w:b/>
      <w:color w:val="008CD2"/>
      <w:sz w:val="26"/>
    </w:rPr>
  </w:style>
  <w:style w:type="paragraph" w:styleId="berschrift3">
    <w:name w:val="heading 3"/>
    <w:basedOn w:val="Standard"/>
    <w:next w:val="Standard"/>
    <w:link w:val="berschrift3Zchn"/>
    <w:qFormat/>
    <w:rsid w:val="009C667D"/>
    <w:pPr>
      <w:keepNext/>
      <w:numPr>
        <w:ilvl w:val="2"/>
        <w:numId w:val="1"/>
      </w:numPr>
      <w:spacing w:before="400"/>
      <w:ind w:left="1134" w:hanging="1134"/>
      <w:jc w:val="left"/>
      <w:outlineLvl w:val="2"/>
    </w:pPr>
    <w:rPr>
      <w:b/>
      <w:color w:val="008CD2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9C667D"/>
    <w:pPr>
      <w:keepNext/>
      <w:numPr>
        <w:ilvl w:val="3"/>
        <w:numId w:val="1"/>
      </w:numPr>
      <w:spacing w:before="400"/>
      <w:ind w:left="1276" w:hanging="1276"/>
      <w:jc w:val="left"/>
      <w:outlineLvl w:val="3"/>
    </w:pPr>
    <w:rPr>
      <w:b/>
      <w:color w:val="008CD2"/>
      <w:sz w:val="26"/>
    </w:rPr>
  </w:style>
  <w:style w:type="paragraph" w:styleId="berschrift5">
    <w:name w:val="heading 5"/>
    <w:basedOn w:val="Standard"/>
    <w:next w:val="Standard"/>
    <w:link w:val="berschrift5Zchn"/>
    <w:rsid w:val="009C667D"/>
    <w:pPr>
      <w:keepNext/>
      <w:numPr>
        <w:ilvl w:val="4"/>
        <w:numId w:val="1"/>
      </w:numPr>
      <w:spacing w:before="400"/>
      <w:ind w:left="1418" w:hanging="1418"/>
      <w:jc w:val="left"/>
      <w:outlineLvl w:val="4"/>
    </w:pPr>
    <w:rPr>
      <w:b/>
      <w:color w:val="008CD2"/>
      <w:sz w:val="26"/>
    </w:rPr>
  </w:style>
  <w:style w:type="paragraph" w:styleId="berschrift6">
    <w:name w:val="heading 6"/>
    <w:basedOn w:val="Standard"/>
    <w:next w:val="Standard"/>
    <w:link w:val="berschrift6Zchn"/>
    <w:rsid w:val="009C667D"/>
    <w:pPr>
      <w:keepNext/>
      <w:numPr>
        <w:ilvl w:val="5"/>
        <w:numId w:val="1"/>
      </w:numPr>
      <w:spacing w:before="400"/>
      <w:ind w:left="1560" w:hanging="1560"/>
      <w:jc w:val="left"/>
      <w:outlineLvl w:val="5"/>
    </w:pPr>
    <w:rPr>
      <w:b/>
      <w:color w:val="008CD2"/>
      <w:sz w:val="26"/>
    </w:rPr>
  </w:style>
  <w:style w:type="paragraph" w:styleId="berschrift7">
    <w:name w:val="heading 7"/>
    <w:basedOn w:val="Standard"/>
    <w:next w:val="Standard"/>
    <w:link w:val="berschrift7Zchn"/>
    <w:rsid w:val="009C667D"/>
    <w:pPr>
      <w:keepNext/>
      <w:numPr>
        <w:ilvl w:val="6"/>
        <w:numId w:val="1"/>
      </w:numPr>
      <w:spacing w:before="400"/>
      <w:ind w:left="1701" w:hanging="1701"/>
      <w:jc w:val="left"/>
      <w:outlineLvl w:val="6"/>
    </w:pPr>
    <w:rPr>
      <w:b/>
      <w:color w:val="008CD2"/>
      <w:sz w:val="26"/>
    </w:rPr>
  </w:style>
  <w:style w:type="paragraph" w:styleId="berschrift8">
    <w:name w:val="heading 8"/>
    <w:basedOn w:val="Standard"/>
    <w:next w:val="Standard"/>
    <w:link w:val="berschrift8Zchn"/>
    <w:rsid w:val="009C667D"/>
    <w:pPr>
      <w:keepNext/>
      <w:numPr>
        <w:ilvl w:val="7"/>
        <w:numId w:val="1"/>
      </w:numPr>
      <w:spacing w:before="400"/>
      <w:ind w:left="1843" w:hanging="1843"/>
      <w:jc w:val="left"/>
      <w:outlineLvl w:val="7"/>
    </w:pPr>
    <w:rPr>
      <w:b/>
      <w:color w:val="008CD2"/>
      <w:sz w:val="26"/>
    </w:rPr>
  </w:style>
  <w:style w:type="paragraph" w:styleId="berschrift9">
    <w:name w:val="heading 9"/>
    <w:basedOn w:val="Standard"/>
    <w:next w:val="berschrift8"/>
    <w:link w:val="berschrift9Zchn"/>
    <w:rsid w:val="009C667D"/>
    <w:pPr>
      <w:keepNext/>
      <w:keepLines/>
      <w:numPr>
        <w:ilvl w:val="8"/>
        <w:numId w:val="1"/>
      </w:numPr>
      <w:spacing w:before="400"/>
      <w:ind w:left="1985" w:hanging="1985"/>
      <w:jc w:val="left"/>
      <w:outlineLvl w:val="8"/>
    </w:pPr>
    <w:rPr>
      <w:b/>
      <w:color w:val="008CD2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afik">
    <w:name w:val="Grafik"/>
    <w:basedOn w:val="Standard"/>
    <w:next w:val="Quelle"/>
    <w:qFormat/>
    <w:rsid w:val="00BC0CCC"/>
    <w:pPr>
      <w:keepNext/>
      <w:tabs>
        <w:tab w:val="left" w:pos="1985"/>
      </w:tabs>
      <w:spacing w:before="0"/>
    </w:pPr>
    <w:rPr>
      <w:noProof/>
    </w:rPr>
  </w:style>
  <w:style w:type="paragraph" w:styleId="Funotentext">
    <w:name w:val="footnote text"/>
    <w:basedOn w:val="Standard"/>
    <w:link w:val="FunotentextZchn"/>
    <w:uiPriority w:val="99"/>
    <w:qFormat/>
    <w:rsid w:val="000358AD"/>
    <w:pPr>
      <w:tabs>
        <w:tab w:val="left" w:pos="284"/>
      </w:tabs>
      <w:spacing w:before="80" w:line="200" w:lineRule="atLeast"/>
      <w:ind w:left="284" w:hanging="284"/>
    </w:pPr>
    <w:rPr>
      <w:color w:val="595959"/>
      <w:position w:val="2"/>
      <w:sz w:val="18"/>
    </w:rPr>
  </w:style>
  <w:style w:type="character" w:styleId="Funotenzeichen">
    <w:name w:val="footnote reference"/>
    <w:basedOn w:val="Absatz-Standardschriftart"/>
    <w:semiHidden/>
    <w:rsid w:val="000358AD"/>
    <w:rPr>
      <w:rFonts w:ascii="Calibri" w:hAnsi="Calibri"/>
      <w:b/>
      <w:noProof w:val="0"/>
      <w:color w:val="008CD2"/>
      <w:position w:val="2"/>
      <w:sz w:val="19"/>
      <w:vertAlign w:val="superscript"/>
      <w:lang w:val="de-DE"/>
    </w:rPr>
  </w:style>
  <w:style w:type="paragraph" w:styleId="Fuzeile">
    <w:name w:val="footer"/>
    <w:basedOn w:val="Standard"/>
    <w:next w:val="Standard"/>
    <w:link w:val="FuzeileZchn"/>
    <w:uiPriority w:val="99"/>
    <w:rsid w:val="007274C8"/>
    <w:pPr>
      <w:tabs>
        <w:tab w:val="right" w:pos="9498"/>
      </w:tabs>
      <w:spacing w:before="0" w:line="240" w:lineRule="auto"/>
      <w:ind w:left="12" w:firstLine="1"/>
      <w:jc w:val="left"/>
    </w:pPr>
    <w:rPr>
      <w:sz w:val="18"/>
    </w:rPr>
  </w:style>
  <w:style w:type="paragraph" w:styleId="Kopfzeile">
    <w:name w:val="header"/>
    <w:basedOn w:val="Standard"/>
    <w:link w:val="KopfzeileZchn"/>
    <w:uiPriority w:val="99"/>
    <w:qFormat/>
    <w:rsid w:val="007274C8"/>
    <w:pPr>
      <w:tabs>
        <w:tab w:val="right" w:pos="9526"/>
      </w:tabs>
      <w:spacing w:before="0" w:line="240" w:lineRule="exact"/>
      <w:jc w:val="left"/>
    </w:pPr>
    <w:rPr>
      <w:color w:val="000000" w:themeColor="text1"/>
      <w:sz w:val="18"/>
    </w:rPr>
  </w:style>
  <w:style w:type="paragraph" w:customStyle="1" w:styleId="Literatur">
    <w:name w:val="Literatur"/>
    <w:basedOn w:val="Standard"/>
    <w:autoRedefine/>
    <w:qFormat/>
    <w:rsid w:val="00F52C57"/>
    <w:pPr>
      <w:tabs>
        <w:tab w:val="left" w:pos="1134"/>
      </w:tabs>
      <w:spacing w:before="80" w:line="240" w:lineRule="exact"/>
      <w:ind w:left="567" w:hanging="567"/>
    </w:pPr>
    <w:rPr>
      <w:color w:val="595959"/>
      <w:sz w:val="20"/>
    </w:rPr>
  </w:style>
  <w:style w:type="paragraph" w:customStyle="1" w:styleId="Titelberschrift">
    <w:name w:val="Titelüberschrift"/>
    <w:basedOn w:val="Standard"/>
    <w:next w:val="Standard"/>
    <w:qFormat/>
    <w:rsid w:val="00F75D82"/>
    <w:pPr>
      <w:tabs>
        <w:tab w:val="left" w:pos="425"/>
      </w:tabs>
      <w:spacing w:before="0"/>
    </w:pPr>
    <w:rPr>
      <w:b/>
      <w:color w:val="008CD2"/>
      <w:sz w:val="32"/>
    </w:rPr>
  </w:style>
  <w:style w:type="paragraph" w:styleId="Verzeichnis1">
    <w:name w:val="toc 1"/>
    <w:basedOn w:val="Standard"/>
    <w:next w:val="Standard"/>
    <w:autoRedefine/>
    <w:uiPriority w:val="39"/>
    <w:qFormat/>
    <w:rsid w:val="003C26D9"/>
    <w:pPr>
      <w:tabs>
        <w:tab w:val="left" w:pos="425"/>
        <w:tab w:val="right" w:pos="9526"/>
      </w:tabs>
      <w:spacing w:before="120"/>
      <w:ind w:left="425" w:hanging="425"/>
      <w:jc w:val="left"/>
    </w:pPr>
    <w:rPr>
      <w:b/>
      <w:color w:val="008CD2"/>
    </w:rPr>
  </w:style>
  <w:style w:type="paragraph" w:styleId="Verzeichnis2">
    <w:name w:val="toc 2"/>
    <w:basedOn w:val="Standard"/>
    <w:next w:val="Standard"/>
    <w:autoRedefine/>
    <w:uiPriority w:val="39"/>
    <w:rsid w:val="00816EF8"/>
    <w:pPr>
      <w:tabs>
        <w:tab w:val="left" w:pos="1134"/>
        <w:tab w:val="right" w:pos="9526"/>
      </w:tabs>
      <w:spacing w:before="60"/>
      <w:ind w:left="1134" w:hanging="709"/>
      <w:jc w:val="left"/>
    </w:pPr>
    <w:rPr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rsid w:val="00816EF8"/>
    <w:pPr>
      <w:tabs>
        <w:tab w:val="left" w:pos="1985"/>
        <w:tab w:val="right" w:pos="9526"/>
      </w:tabs>
      <w:spacing w:before="0"/>
      <w:ind w:left="1985" w:hanging="851"/>
      <w:jc w:val="left"/>
    </w:pPr>
    <w:rPr>
      <w:color w:val="000000" w:themeColor="text1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274C8"/>
    <w:rPr>
      <w:rFonts w:ascii="Calibri" w:hAnsi="Calibri"/>
      <w:color w:val="000000" w:themeColor="text1"/>
      <w:sz w:val="18"/>
    </w:rPr>
  </w:style>
  <w:style w:type="paragraph" w:customStyle="1" w:styleId="berschriftohneNum">
    <w:name w:val="Überschrift ohne Num."/>
    <w:basedOn w:val="berschrift1"/>
    <w:next w:val="Standard"/>
    <w:link w:val="berschriftohneNumZchn"/>
    <w:qFormat/>
    <w:rsid w:val="00730001"/>
    <w:pPr>
      <w:numPr>
        <w:numId w:val="0"/>
      </w:numPr>
    </w:pPr>
  </w:style>
  <w:style w:type="paragraph" w:customStyle="1" w:styleId="Zwischenberschriftbold">
    <w:name w:val="Zwischenüberschrift bold"/>
    <w:basedOn w:val="Standard"/>
    <w:next w:val="Standard"/>
    <w:qFormat/>
    <w:rsid w:val="00F75D82"/>
    <w:pPr>
      <w:keepNext/>
      <w:spacing w:before="320"/>
    </w:pPr>
    <w:rPr>
      <w:b/>
    </w:rPr>
  </w:style>
  <w:style w:type="paragraph" w:customStyle="1" w:styleId="Zwischenberschriftkursiv">
    <w:name w:val="Zwischenüberschrift kursiv"/>
    <w:basedOn w:val="Zwischenberschriftbold"/>
    <w:next w:val="Standard"/>
    <w:qFormat/>
    <w:rsid w:val="00E3276E"/>
    <w:rPr>
      <w:b w:val="0"/>
      <w:i/>
    </w:rPr>
  </w:style>
  <w:style w:type="paragraph" w:customStyle="1" w:styleId="Quelle">
    <w:name w:val="Quelle"/>
    <w:basedOn w:val="Standard"/>
    <w:next w:val="NachAbbTab"/>
    <w:link w:val="QuelleZchn"/>
    <w:qFormat/>
    <w:rsid w:val="006B07F6"/>
    <w:pPr>
      <w:spacing w:before="120" w:line="200" w:lineRule="atLeast"/>
    </w:pPr>
    <w:rPr>
      <w:color w:val="626262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667D"/>
    <w:rPr>
      <w:rFonts w:ascii="Calibri" w:hAnsi="Calibri"/>
      <w:b/>
      <w:color w:val="008CD2"/>
      <w:sz w:val="26"/>
    </w:rPr>
  </w:style>
  <w:style w:type="character" w:customStyle="1" w:styleId="berschrift2Zchn">
    <w:name w:val="Überschrift 2 Zchn"/>
    <w:basedOn w:val="Absatz-Standardschriftart"/>
    <w:link w:val="berschrift2"/>
    <w:rsid w:val="009C667D"/>
    <w:rPr>
      <w:rFonts w:ascii="Calibri" w:hAnsi="Calibri"/>
      <w:b/>
      <w:color w:val="008CD2"/>
      <w:sz w:val="26"/>
    </w:rPr>
  </w:style>
  <w:style w:type="character" w:customStyle="1" w:styleId="berschrift3Zchn">
    <w:name w:val="Überschrift 3 Zchn"/>
    <w:basedOn w:val="Absatz-Standardschriftart"/>
    <w:link w:val="berschrift3"/>
    <w:rsid w:val="009C667D"/>
    <w:rPr>
      <w:rFonts w:ascii="Calibri" w:hAnsi="Calibri"/>
      <w:b/>
      <w:color w:val="008CD2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9C667D"/>
    <w:rPr>
      <w:rFonts w:ascii="Calibri" w:hAnsi="Calibri"/>
      <w:b/>
      <w:color w:val="008CD2"/>
      <w:sz w:val="26"/>
    </w:rPr>
  </w:style>
  <w:style w:type="character" w:customStyle="1" w:styleId="berschrift5Zchn">
    <w:name w:val="Überschrift 5 Zchn"/>
    <w:basedOn w:val="Absatz-Standardschriftart"/>
    <w:link w:val="berschrift5"/>
    <w:rsid w:val="009C667D"/>
    <w:rPr>
      <w:rFonts w:ascii="Calibri" w:hAnsi="Calibri"/>
      <w:b/>
      <w:color w:val="008CD2"/>
      <w:sz w:val="26"/>
    </w:rPr>
  </w:style>
  <w:style w:type="character" w:customStyle="1" w:styleId="berschrift6Zchn">
    <w:name w:val="Überschrift 6 Zchn"/>
    <w:basedOn w:val="Absatz-Standardschriftart"/>
    <w:link w:val="berschrift6"/>
    <w:rsid w:val="009C667D"/>
    <w:rPr>
      <w:rFonts w:ascii="Calibri" w:hAnsi="Calibri"/>
      <w:b/>
      <w:color w:val="008CD2"/>
      <w:sz w:val="26"/>
    </w:rPr>
  </w:style>
  <w:style w:type="character" w:customStyle="1" w:styleId="berschrift7Zchn">
    <w:name w:val="Überschrift 7 Zchn"/>
    <w:basedOn w:val="Absatz-Standardschriftart"/>
    <w:link w:val="berschrift7"/>
    <w:rsid w:val="009C667D"/>
    <w:rPr>
      <w:rFonts w:ascii="Calibri" w:hAnsi="Calibri"/>
      <w:b/>
      <w:color w:val="008CD2"/>
      <w:sz w:val="26"/>
    </w:rPr>
  </w:style>
  <w:style w:type="character" w:customStyle="1" w:styleId="berschrift8Zchn">
    <w:name w:val="Überschrift 8 Zchn"/>
    <w:basedOn w:val="Absatz-Standardschriftart"/>
    <w:link w:val="berschrift8"/>
    <w:rsid w:val="009C667D"/>
    <w:rPr>
      <w:rFonts w:ascii="Calibri" w:hAnsi="Calibri"/>
      <w:b/>
      <w:color w:val="008CD2"/>
      <w:sz w:val="26"/>
    </w:rPr>
  </w:style>
  <w:style w:type="character" w:customStyle="1" w:styleId="berschrift9Zchn">
    <w:name w:val="Überschrift 9 Zchn"/>
    <w:basedOn w:val="Absatz-Standardschriftart"/>
    <w:link w:val="berschrift9"/>
    <w:rsid w:val="009C667D"/>
    <w:rPr>
      <w:rFonts w:ascii="Calibri" w:hAnsi="Calibri"/>
      <w:b/>
      <w:color w:val="008CD2"/>
      <w:sz w:val="2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358AD"/>
    <w:rPr>
      <w:rFonts w:ascii="Calibri" w:hAnsi="Calibri"/>
      <w:color w:val="595959"/>
      <w:position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274C8"/>
    <w:rPr>
      <w:rFonts w:ascii="Calibri" w:hAnsi="Calibri"/>
      <w:sz w:val="18"/>
    </w:rPr>
  </w:style>
  <w:style w:type="paragraph" w:styleId="Inhaltsverzeichnisberschrift">
    <w:name w:val="TOC Heading"/>
    <w:basedOn w:val="Standard"/>
    <w:next w:val="Standard"/>
    <w:uiPriority w:val="39"/>
    <w:qFormat/>
    <w:rsid w:val="006962C8"/>
    <w:pPr>
      <w:keepLines/>
      <w:spacing w:before="400" w:after="240"/>
    </w:pPr>
    <w:rPr>
      <w:b/>
      <w:bCs/>
      <w:color w:val="008CD2"/>
      <w:sz w:val="26"/>
      <w:szCs w:val="28"/>
    </w:rPr>
  </w:style>
  <w:style w:type="paragraph" w:styleId="berarbeitung">
    <w:name w:val="Revision"/>
    <w:hidden/>
    <w:uiPriority w:val="99"/>
    <w:semiHidden/>
    <w:rsid w:val="00B7697C"/>
    <w:rPr>
      <w:rFonts w:ascii="Times New Roman" w:hAnsi="Times New Roman"/>
      <w:spacing w:val="4"/>
      <w:sz w:val="24"/>
    </w:rPr>
  </w:style>
  <w:style w:type="character" w:customStyle="1" w:styleId="QuelleZchn">
    <w:name w:val="Quelle Zchn"/>
    <w:link w:val="Quelle"/>
    <w:rsid w:val="006B07F6"/>
    <w:rPr>
      <w:rFonts w:ascii="Calibri" w:hAnsi="Calibri"/>
      <w:color w:val="626262"/>
      <w:sz w:val="18"/>
    </w:rPr>
  </w:style>
  <w:style w:type="character" w:styleId="Platzhaltertext">
    <w:name w:val="Placeholder Text"/>
    <w:basedOn w:val="Absatz-Standardschriftart"/>
    <w:uiPriority w:val="99"/>
    <w:semiHidden/>
    <w:rsid w:val="00726E75"/>
    <w:rPr>
      <w:color w:val="808080"/>
    </w:rPr>
  </w:style>
  <w:style w:type="table" w:styleId="Tabellenraster">
    <w:name w:val="Table Grid"/>
    <w:basedOn w:val="NormaleTabelle"/>
    <w:rsid w:val="00BC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qFormat/>
    <w:rsid w:val="00442636"/>
    <w:pPr>
      <w:spacing w:before="20" w:after="20" w:line="240" w:lineRule="auto"/>
      <w:jc w:val="left"/>
    </w:pPr>
    <w:rPr>
      <w:color w:val="000000" w:themeColor="text1"/>
      <w:sz w:val="20"/>
    </w:rPr>
  </w:style>
  <w:style w:type="paragraph" w:customStyle="1" w:styleId="NachAbbTab">
    <w:name w:val="Nach_Abb+Tab"/>
    <w:basedOn w:val="Standard"/>
    <w:next w:val="Standard"/>
    <w:link w:val="NachAbbTabZchn"/>
    <w:qFormat/>
    <w:rsid w:val="009C7647"/>
    <w:pPr>
      <w:spacing w:before="240"/>
    </w:pPr>
  </w:style>
  <w:style w:type="character" w:customStyle="1" w:styleId="NachAbbTabZchn">
    <w:name w:val="Nach_Abb+Tab Zchn"/>
    <w:link w:val="NachAbbTab"/>
    <w:rsid w:val="009C7647"/>
    <w:rPr>
      <w:rFonts w:ascii="Calibri" w:hAnsi="Calibri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5C5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D26905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D26905"/>
    <w:rPr>
      <w:rFonts w:ascii="Calibri" w:hAnsi="Calibri"/>
      <w:b/>
      <w:bCs/>
    </w:rPr>
  </w:style>
  <w:style w:type="character" w:customStyle="1" w:styleId="Autor">
    <w:name w:val="Autor"/>
    <w:basedOn w:val="Absatz-Standardschriftart"/>
    <w:qFormat/>
    <w:rsid w:val="009D59E6"/>
    <w:rPr>
      <w:rFonts w:ascii="Calibri" w:hAnsi="Calibri"/>
      <w:caps w:val="0"/>
      <w:smallCaps/>
      <w:color w:val="000000" w:themeColor="text1"/>
      <w:sz w:val="24"/>
    </w:rPr>
  </w:style>
  <w:style w:type="numbering" w:customStyle="1" w:styleId="Formatvorlage1">
    <w:name w:val="Formatvorlage1"/>
    <w:uiPriority w:val="99"/>
    <w:rsid w:val="00D614EC"/>
    <w:pPr>
      <w:numPr>
        <w:numId w:val="2"/>
      </w:numPr>
    </w:pPr>
  </w:style>
  <w:style w:type="paragraph" w:customStyle="1" w:styleId="Liste-1">
    <w:name w:val="Liste-1"/>
    <w:basedOn w:val="Standard"/>
    <w:qFormat/>
    <w:rsid w:val="00D614EC"/>
    <w:pPr>
      <w:numPr>
        <w:numId w:val="2"/>
      </w:numPr>
      <w:tabs>
        <w:tab w:val="left" w:pos="567"/>
      </w:tabs>
      <w:spacing w:before="80"/>
    </w:pPr>
  </w:style>
  <w:style w:type="numbering" w:customStyle="1" w:styleId="Formatvorlage2">
    <w:name w:val="Formatvorlage2"/>
    <w:uiPriority w:val="99"/>
    <w:rsid w:val="00D614EC"/>
    <w:pPr>
      <w:numPr>
        <w:numId w:val="3"/>
      </w:numPr>
    </w:pPr>
  </w:style>
  <w:style w:type="numbering" w:customStyle="1" w:styleId="Formatvorlage3">
    <w:name w:val="Formatvorlage3"/>
    <w:uiPriority w:val="99"/>
    <w:rsid w:val="00D614EC"/>
    <w:pPr>
      <w:numPr>
        <w:numId w:val="4"/>
      </w:numPr>
    </w:pPr>
  </w:style>
  <w:style w:type="paragraph" w:customStyle="1" w:styleId="Liste-2">
    <w:name w:val="Liste-2"/>
    <w:basedOn w:val="Liste-1"/>
    <w:qFormat/>
    <w:rsid w:val="00D614EC"/>
    <w:pPr>
      <w:numPr>
        <w:numId w:val="35"/>
      </w:numPr>
    </w:pPr>
  </w:style>
  <w:style w:type="paragraph" w:customStyle="1" w:styleId="Liste-3">
    <w:name w:val="Liste-3"/>
    <w:basedOn w:val="Liste-2"/>
    <w:qFormat/>
    <w:rsid w:val="00D614EC"/>
    <w:pPr>
      <w:numPr>
        <w:numId w:val="37"/>
      </w:numPr>
      <w:tabs>
        <w:tab w:val="clear" w:pos="567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9C7647"/>
    <w:rPr>
      <w:color w:val="800080" w:themeColor="followedHyperlink"/>
      <w:u w:val="single"/>
    </w:rPr>
  </w:style>
  <w:style w:type="table" w:customStyle="1" w:styleId="Thnen-Tabelle2">
    <w:name w:val="Thünen-Tabelle 2"/>
    <w:basedOn w:val="NormaleTabelle"/>
    <w:uiPriority w:val="99"/>
    <w:rsid w:val="0096678C"/>
    <w:rPr>
      <w:rFonts w:ascii="Calibri" w:hAnsi="Calibri"/>
      <w:color w:val="000000" w:themeColor="text1"/>
    </w:rPr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008C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7647"/>
    <w:rPr>
      <w:color w:val="605E5C"/>
      <w:shd w:val="clear" w:color="auto" w:fill="E1DFDD"/>
    </w:rPr>
  </w:style>
  <w:style w:type="character" w:customStyle="1" w:styleId="berschriftohneNumZchn">
    <w:name w:val="Überschrift ohne Num. Zchn"/>
    <w:basedOn w:val="Absatz-Standardschriftart"/>
    <w:link w:val="berschriftohneNum"/>
    <w:rsid w:val="00730001"/>
    <w:rPr>
      <w:rFonts w:ascii="Calibri" w:hAnsi="Calibri"/>
      <w:b/>
      <w:color w:val="008CD2"/>
      <w:sz w:val="28"/>
    </w:rPr>
  </w:style>
  <w:style w:type="table" w:styleId="HelleListe">
    <w:name w:val="Light List"/>
    <w:basedOn w:val="NormaleTabelle"/>
    <w:uiPriority w:val="61"/>
    <w:rsid w:val="00CC166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CC16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HelleSchattierung-Akzent1">
    <w:name w:val="Light Shading Accent 1"/>
    <w:basedOn w:val="NormaleTabelle"/>
    <w:uiPriority w:val="60"/>
    <w:rsid w:val="00CC166B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hnen-Tabelle1">
    <w:name w:val="Thünen-Tabelle 1"/>
    <w:basedOn w:val="NormaleTabelle"/>
    <w:uiPriority w:val="99"/>
    <w:rsid w:val="00D26905"/>
    <w:rPr>
      <w:rFonts w:ascii="Calibri" w:hAnsi="Calibri"/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0B0FA9"/>
    <w:pPr>
      <w:keepNext/>
      <w:tabs>
        <w:tab w:val="left" w:pos="1418"/>
        <w:tab w:val="left" w:pos="2127"/>
      </w:tabs>
      <w:spacing w:before="240" w:after="120"/>
      <w:ind w:left="1418" w:hanging="1418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7274C8"/>
    <w:rPr>
      <w:color w:val="0000FF" w:themeColor="hyperlink"/>
      <w:u w:val="single"/>
    </w:rPr>
  </w:style>
  <w:style w:type="table" w:customStyle="1" w:styleId="Inhaltstabelle2">
    <w:name w:val="Inhaltstabelle2"/>
    <w:basedOn w:val="NormaleTabelle"/>
    <w:uiPriority w:val="99"/>
    <w:rsid w:val="00CA64DC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1">
    <w:name w:val="Inhaltstabelle21"/>
    <w:basedOn w:val="NormaleTabelle"/>
    <w:uiPriority w:val="99"/>
    <w:rsid w:val="003A1ED8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2">
    <w:name w:val="Inhaltstabelle22"/>
    <w:basedOn w:val="NormaleTabelle"/>
    <w:uiPriority w:val="99"/>
    <w:rsid w:val="00AE07EF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3">
    <w:name w:val="Inhaltstabelle23"/>
    <w:basedOn w:val="NormaleTabelle"/>
    <w:uiPriority w:val="99"/>
    <w:rsid w:val="008D0DE5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4">
    <w:name w:val="Inhaltstabelle24"/>
    <w:basedOn w:val="NormaleTabelle"/>
    <w:uiPriority w:val="99"/>
    <w:rsid w:val="000A4656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5">
    <w:name w:val="Inhaltstabelle25"/>
    <w:basedOn w:val="NormaleTabelle"/>
    <w:uiPriority w:val="99"/>
    <w:rsid w:val="00084F59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table" w:customStyle="1" w:styleId="Inhaltstabelle26">
    <w:name w:val="Inhaltstabelle26"/>
    <w:basedOn w:val="NormaleTabelle"/>
    <w:uiPriority w:val="99"/>
    <w:rsid w:val="00C80808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F3F3970-C036-449A-9106-4F5499EB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Ogan</dc:creator>
  <cp:keywords/>
  <dc:description/>
  <cp:lastModifiedBy>Sophie Ogan</cp:lastModifiedBy>
  <cp:revision>2</cp:revision>
  <cp:lastPrinted>2021-10-06T11:18:00Z</cp:lastPrinted>
  <dcterms:created xsi:type="dcterms:W3CDTF">2025-11-26T15:17:00Z</dcterms:created>
  <dcterms:modified xsi:type="dcterms:W3CDTF">2025-11-26T15:17:00Z</dcterms:modified>
</cp:coreProperties>
</file>